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NW_27757 (Nordrhein-Westfalen)</w:t>
      </w:r>
    </w:p>
    <w:p>
      <w:r>
        <w:rPr>
          <w:color w:val="555555"/>
          <w:sz w:val="18"/>
        </w:rPr>
        <w:t xml:space="preserve">ZVO-BEG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Bezirksregierung Düsseldorf entscheidet über Ansprüche nach dem Bundesentschädigungsgesetz (BEG) sowie nach den landesrechtlichen Wiedergutmachungsvorschriften.</w:t>
      </w:r>
    </w:p>
    <w:p>
      <w:r>
        <w:rPr>
          <w:color w:val="555555"/>
          <w:sz w:val="17"/>
        </w:rPr>
        <w:t xml:space="preserve">Zitiervorschlag: § 3 NW_27757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https://recht.nulegal.eu/gesetze/NW_27757/3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