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NW_27757 (Nordrhein-Westfalen)</w:t>
      </w:r>
    </w:p>
    <w:p>
      <w:r>
        <w:rPr>
          <w:color w:val="555555"/>
          <w:sz w:val="18"/>
        </w:rPr>
        <w:t xml:space="preserve">ZVO-BEG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Nordrhein-Westfalen wird in Verfahren vor den Entschädigungsgerichten durch die für die Entscheidung im Verwaltungsverfahren zuständige Entschädigungsbehörde vertreten.</w:t>
      </w:r>
    </w:p>
    <w:p>
      <w:r>
        <w:rPr>
          <w:color w:val="555555"/>
          <w:sz w:val="17"/>
        </w:rPr>
        <w:t xml:space="preserve">Zitiervorschlag: § 16 NW_27757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https://recht.nulegal.eu/gesetze/NW_27757/16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