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jedem den Antrag abweisenden Bescheid ist eine Kostenentscheidung zu treffen. Werden dem Antragsteller gemäß § 207 Abs. 1 Satz 2 BEG die Kosten auferlegt, so ist der Kostenbetrag in dem Bescheid festzustellen. Als Kosten können dem Antragsteller nach § 11 des Gerichtskostengesetzes Ersatz der vollen Auslagen und eine Gebühr bis zur vollen Höhe auferlegt werden. Für die Wertberechnung gilt § 12 des Gerichtskostengesetzes.</w:t>
      </w:r>
    </w:p>
    <w:p>
      <w:r>
        <w:t xml:space="preserve">(2) Zeugen und Sachverständige erhalten Gebühren nach dem Gesetz über die Entschädigung von Zeugen und Sachverständigen.</w:t>
      </w:r>
    </w:p>
    <w:p>
      <w:r>
        <w:rPr>
          <w:color w:val="555555"/>
          <w:sz w:val="17"/>
        </w:rPr>
        <w:t xml:space="preserve">Zitiervorschlag: § 14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