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NW_27757 (Nordrhein-Westfalen)</w:t>
      </w:r>
    </w:p>
    <w:p>
      <w:r>
        <w:rPr>
          <w:color w:val="555555"/>
          <w:sz w:val="18"/>
        </w:rPr>
        <w:t xml:space="preserve">ZVO-BEG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Kann zwischen dem Lande Nordrhein-Westfalen und einem anderen als zuständig in Frage kommenden Land eine Einigung über die Zuständigkeit nicht erzielt werden, so übernimmt das Land Nordrhein-Westfalen den Antrag, wenn es in einem mit Zustimmung des Antragstellers eingeleiteten Schiedsverfahren von der obersten Landesbehörde eines von den streitenden Ländern angerufenen dritten Landes für zuständig erklärt wird.</w:t>
      </w:r>
    </w:p>
    <w:p>
      <w:r>
        <w:rPr>
          <w:color w:val="555555"/>
          <w:sz w:val="17"/>
        </w:rPr>
        <w:t xml:space="preserve">Zitiervorschlag: § 12 NW_27757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https://recht.nulegal.eu/gesetze/NW_27757/12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