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NW_27757 (Nordrhein-Westfalen)</w:t>
      </w:r>
    </w:p>
    <w:p>
      <w:r>
        <w:rPr>
          <w:color w:val="555555"/>
          <w:sz w:val="18"/>
        </w:rPr>
        <w:t xml:space="preserve">ZVO-BEG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Oberste Landesbehörde und oberste Entschädigungsbehörde im Sinne des Bundesentschädigungsgesetzes ist das Innenministerium.</w:t>
      </w:r>
    </w:p>
    <w:p>
      <w:r>
        <w:t xml:space="preserve">(2) Entschädigungsbehörde ist ferner die Bezirksregierung Düsseldorf.</w:t>
      </w:r>
    </w:p>
    <w:p>
      <w:r>
        <w:t xml:space="preserve">(3) Die Bezirksregierung Düsseldorf untersteht den Weisungen des Innenministeriums</w:t>
      </w:r>
    </w:p>
    <w:p>
      <w:r>
        <w:rPr>
          <w:color w:val="555555"/>
          <w:sz w:val="17"/>
        </w:rPr>
        <w:t xml:space="preserve">Zitiervorschlag: § 1 NW_27757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https://recht.nulegal.eu/gesetze/NW_27757/1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