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NW_27747 (Nordrhein-Westfalen)</w:t>
      </w:r>
    </w:p>
    <w:p>
      <w:r>
        <w:rPr>
          <w:color w:val="555555"/>
          <w:sz w:val="18"/>
        </w:rPr>
        <w:t xml:space="preserve">Gesetz über die Gewährung von Unfall- und Hinterbliebenenrenten an die Opfer der Naziunterdrückung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Leistungs- und Feststellungsansprüche auf Grund dieses Gesetzes können nur von solchen Personen erhoben werden, die ihren ständigen Wohnsitz im Land Nordrhein-Westfalen haben.</w:t>
      </w:r>
    </w:p>
    <w:p>
      <w:r>
        <w:t xml:space="preserve">Zahlungen für einen vor dem 1. September 1946 liegenden Zeitraum werden nicht gewährt.</w:t>
      </w:r>
    </w:p>
    <w:p>
      <w:r>
        <w:t xml:space="preserve">Ergeben sich aus der Bestimmung des Absatzes 1 in einem Einzelfall besondere Härten, so ist der zuständige Minister zur Erteilung von Ausnahmebewilligungen berechtigt.</w:t>
      </w:r>
    </w:p>
    <w:p>
      <w:r>
        <w:rPr>
          <w:color w:val="555555"/>
          <w:sz w:val="17"/>
        </w:rPr>
        <w:t xml:space="preserve">Zitiervorschlag: § 8 NW_27747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https://recht.nulegal.eu/gesetze/NW_27747/8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