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NW_27747 (Nordrhein-Westfalen)</w:t>
      </w:r>
    </w:p>
    <w:p>
      <w:r>
        <w:rPr>
          <w:color w:val="555555"/>
          <w:sz w:val="18"/>
        </w:rPr>
        <w:t xml:space="preserve">Gesetz über die Gewährung von Unfall- und Hinterbliebenenrenten an die Opfer der Naziunterdrückung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Über die Erfahrungen mit diesem Gesetz ist dem Landtag bis zum 1. Juli 2014 und danach alle fünf Jahre zu berichten.</w:t>
      </w:r>
    </w:p>
    <w:p>
      <w:r>
        <w:rPr>
          <w:color w:val="555555"/>
          <w:sz w:val="17"/>
        </w:rPr>
        <w:t xml:space="preserve">Zitiervorschlag: § 13 NW_27747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https://recht.nulegal.eu/gesetze/NW_27747/13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