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NW_27735 (Nordrhein-Westfalen) — Zuständigkeiten der Landesmittelbehörden</w:t>
      </w:r>
    </w:p>
    <w:p>
      <w:r>
        <w:rPr>
          <w:color w:val="555555"/>
          <w:sz w:val="18"/>
        </w:rPr>
        <w:t xml:space="preserve">Verordnung über Zuständigkeiten auf dem Gebiet der sozialen Wohnraumförderung und anderer Maßnahmen des Wohnungswesens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Bezirksregierungen und die Oberfinanzdirektionen sind jeweils für die Bediensteten ihres Geschäftsbereiches zuständig für die Aufgaben der Bewilligungsstelle für den Wohnungsbau und die Wohnungsmodernisierung für Landesbedienstete.</w:t>
      </w:r>
    </w:p>
    <w:p>
      <w:r>
        <w:t xml:space="preserve">(2) Für die Aufgaben der Bewilligungsstelle für Mittel des Treuhandvermögens für</w:t>
      </w:r>
    </w:p>
    <w:p>
      <w:r>
        <w:t xml:space="preserve">1. den Bau von Bergarbeiterwohnungen im Kohlenbergbau,</w:t>
      </w:r>
    </w:p>
    <w:p>
      <w:r>
        <w:t xml:space="preserve">2. die Modernisierung von Bergarbeiterwohnungen und anderen Wohnungen, die für Arbeitnehmer des Kohlenbergbaues bestimmt oder nach Rechtsgeschäft zur Verfügung zu halten sind, sowie für Bergmannswohnungen</w:t>
      </w:r>
    </w:p>
    <w:p>
      <w:r>
        <w:t xml:space="preserve">sind zuständig:</w:t>
      </w:r>
    </w:p>
    <w:p>
      <w:r>
        <w:t xml:space="preserve">für den rheinisch-westfälischen Kohlenbezirk:</w:t>
      </w:r>
    </w:p>
    <w:p>
      <w:r>
        <w:t xml:space="preserve">die Bezirksregierung in Düsseldorf;</w:t>
      </w:r>
    </w:p>
    <w:p>
      <w:r>
        <w:t xml:space="preserve">für den Aachener Steinkohlenbezirk und den rheinischen Braunkohlenbezirk:</w:t>
      </w:r>
    </w:p>
    <w:p>
      <w:r>
        <w:t xml:space="preserve">die Bezirksregierung in Köln.</w:t>
      </w:r>
    </w:p>
    <w:p>
      <w:r>
        <w:t xml:space="preserve">Die Zuständigkeit nach Satz 1 gilt auch für die Bewilligung von öffentlichen Mitteln im Sinne von § 3 Abs. 1 des Ersten Wohnungsbaugesetzes und von § 6 Abs. 1 des Zweiten Wohnungsbaugesetzes, wenn diese neben Mitteln des Treuhandvermögens gewährt wurden.</w:t>
      </w:r>
    </w:p>
    <w:p>
      <w:r>
        <w:rPr>
          <w:color w:val="555555"/>
          <w:sz w:val="17"/>
        </w:rPr>
        <w:t xml:space="preserve">Zitiervorschlag: § 4 NW_27735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https://recht.nulegal.eu/gesetze/NW_27735/4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