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NW_27719 (Nordrhein-Westfalen) — Nachweise der Standsicherheit und des Schallschutzes</w:t>
      </w:r>
    </w:p>
    <w:p>
      <w:r>
        <w:rPr>
          <w:color w:val="555555"/>
          <w:sz w:val="18"/>
        </w:rPr>
        <w:t xml:space="preserve">Verordnung über bautechnische Prüfungen (BauPrüfVO)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Nachweis der Standsicherheit besteht aus einer Darstellung des gesamten statischen Systems einschließlich der Gründung, den erforderlichen Berechnungen, Konstruktionszeichnungen, Bewehrungs- und Schalungsplänen. Die statischen Berechnungen müssen die Standsicherheit der baulichen Anlagen und ihrer Teile nachweisen. Die Beschaffenheit des Baugrundes und seine Tragfähigkeit sind anzugeben. Der Standsicherheitsnachweis umfasst auch den Nachweis der Feuerwiderstandsfähigkeit der tragenden Bauteile.</w:t>
      </w:r>
    </w:p>
    <w:p>
      <w:r>
        <w:t xml:space="preserve">(2) Von der Vorlage eines Nachweises der Standsicherheit kann im Einvernehmen mit der Bauaufsichtsbehörde abgesehen werden, wenn bauliche Anlagen oder ihre Teile nach Bauart, statischem System, baulicher Durchbildung und Abmessungen sowie hinsichtlich ihrer Beanspruchung einer bewährten Ausführung entsprechen.</w:t>
      </w:r>
    </w:p>
    <w:p>
      <w:r>
        <w:t xml:space="preserve">(3) Einzelnachweise gemäß Absatz 1, die nach ihrem Inhalt erst vorgelegt werden können, wenn die Ausführungsplanung erstellt ist, dürfen nach Erteilung der Baugenehmigung, jedoch rechtzeitig vor der Bauausführung zur Prüfung eingereicht werden.</w:t>
      </w:r>
    </w:p>
    <w:p>
      <w:r>
        <w:t xml:space="preserve">(4) Als Nachweis des Schallschutzes sind, soweit erforderlich, Einzelnachweise durch Zeichnung, Beschreibung, Berechnung, Prüfzeugnisse oder Gutachten vorzulegen.</w:t>
      </w:r>
    </w:p>
    <w:p>
      <w:r>
        <w:rPr>
          <w:color w:val="555555"/>
          <w:sz w:val="17"/>
        </w:rPr>
        <w:t xml:space="preserve">Zitiervorschlag: § 8 NW_27719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NW_27719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