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NW_27719 (Nordrhein-Westfalen) — Inkrafttreten, Übergangsvorschriften</w:t>
      </w:r>
    </w:p>
    <w:p>
      <w:r>
        <w:rPr>
          <w:color w:val="555555"/>
          <w:sz w:val="18"/>
        </w:rPr>
        <w:t xml:space="preserve">Verordnung über bautechnische Prüfungen (BauPrüfVO) 1)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tritt am 1. Januar 1996 in Kraft.</w:t>
      </w:r>
    </w:p>
    <w:p>
      <w:r>
        <w:t xml:space="preserve">(2) Prüfingenieurinnen und Prüfingenieure, deren Anerkennung innerhalb des Jahres 2024 durch Vollendung des 70. Lebensjahres erloschen ist, werden auf Antrag ohne erneute Prüfung der Anerkennungsvoraussetzungen anerkannt.</w:t>
      </w:r>
    </w:p>
    <w:p>
      <w:r>
        <w:t xml:space="preserve">Der Minister für Bauen und Wohnen</w:t>
      </w:r>
    </w:p>
    <w:p>
      <w:r>
        <w:t xml:space="preserve">des Landes Nordrhein-Westfalen</w:t>
      </w:r>
    </w:p>
    <w:p>
      <w:r>
        <w:t xml:space="preserve">Hinweis</w:t>
      </w:r>
    </w:p>
    <w:p>
      <w:r>
        <w:t xml:space="preserve">Wiederherstellung des Verordnungsranges</w:t>
      </w:r>
    </w:p>
    <w:p>
      <w:r>
        <w:t xml:space="preserve">(Artikel 196 des Dritten Befristungsgesetzes vom 5.4.2005 (GV. NRW. S. 306))</w:t>
      </w:r>
    </w:p>
    <w:p>
      <w:r>
        <w:t xml:space="preserve">Die in diesem Gesetz erlassenen oder geänderten Rechtsverordnungen können aufgrund der jeweils einschlägigen Verordnungsermächtigungen durch Rechtsverordnung geändert werden.</w:t>
      </w:r>
    </w:p>
    <w:p>
      <w:r>
        <w:t xml:space="preserve">Recherchierhilfe für elektronische Volltextsuche: Bauprüfverordnung</w:t>
      </w:r>
    </w:p>
    <w:p>
      <w:r>
        <w:rPr>
          <w:color w:val="555555"/>
          <w:sz w:val="17"/>
        </w:rPr>
        <w:t xml:space="preserve">Zitiervorschlag: § 31 NW_27719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https://recht.nulegal.eu/gesetze/NW_27719/31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