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NW_27719 (Nordrhein-Westfalen) — Typenprüfung - Prüfung Fliegender Bauten</w:t>
      </w:r>
    </w:p>
    <w:p>
      <w:r>
        <w:rPr>
          <w:color w:val="555555"/>
          <w:sz w:val="18"/>
        </w:rPr>
        <w:t xml:space="preserve">Verordnung über bautechnische Prüfungen (BauPrüfVO)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bauliche Anlagen und Bauteile, die in gleicher Ausführung an mehreren Stellen errichtet oder verwendet werden, können mit dem Bauantrag bereits geprüfte Nachweise der Standsicherheit, des Brandverhaltens der Baustoffe und der Feuerwiderstandsfähigkeit der tragenden Bauteile und des Schallschutzes eingereicht werden; diese Nachweise müssen von einem Prüfamt allgemein geprüft sein (Typenprüfung).</w:t>
      </w:r>
    </w:p>
    <w:p>
      <w:r>
        <w:t xml:space="preserve">(2) Die Geltungsdauer einer Typenprüfung ist unter dem Vorbehalt des Widerrufs auf höchstens fünf Jahre zu befristen. Sie kann auf in Textform gestellten Antrag um jeweils fünf Jahre verlängert werden.</w:t>
      </w:r>
    </w:p>
    <w:p>
      <w:r>
        <w:t xml:space="preserve">(3) Die Nachweise der Standsicherheit Fliegender Bauten dürfen nur von den nach § 30 für die Erteilung von Ausführungsgenehmigungen für Fliegende Bauten zuständigen Behörden oder von einem Prüfamt geprüft werden.</w:t>
      </w:r>
    </w:p>
    <w:p>
      <w:r>
        <w:t xml:space="preserve">Dritter Teil</w:t>
      </w:r>
    </w:p>
    <w:p>
      <w:r>
        <w:t xml:space="preserve">Regelung von Zuständigkeiten</w:t>
      </w:r>
    </w:p>
    <w:p>
      <w:r>
        <w:rPr>
          <w:color w:val="555555"/>
          <w:sz w:val="17"/>
        </w:rPr>
        <w:t xml:space="preserve">Zitiervorschlag: § 29 NW_27719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https://recht.nulegal.eu/gesetze/NW_27719/29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