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NW_27719 (Nordrhein-Westfalen) — Auszüge aus dem Liegenschaftskataster</w:t>
      </w:r>
    </w:p>
    <w:p>
      <w:r>
        <w:rPr>
          <w:color w:val="555555"/>
          <w:sz w:val="18"/>
        </w:rPr>
        <w:t xml:space="preserve">Verordnung über bautechnische Prüfungen (BauPrüfVO) 1)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Auszüge aus dem Liegenschaftskataster sind die Standardausgaben in Form der Flurkarte oder der Amtlichen Basiskarte.</w:t>
      </w:r>
    </w:p>
    <w:p>
      <w:r>
        <w:t xml:space="preserve">(2) Im Auszug aus der Flurkarte müssen das Baugrundstück und die benachbarten Grundstücke im Umkreis von 50 m um das Baugrundstück sowie der Standort des Bauvorhabens dargestellt sein. Der Auszug darf nicht älter als sechs Monate und muss amtlich beglaubigt sein. Ein Auszug nach Satz 1 ist nicht erforderlich, wenn ein amtlicher Lageplan nach § 3 Absatz 3, § 17 Satz 1 Nummer 1 oder § 18 vorgelegt wird.</w:t>
      </w:r>
    </w:p>
    <w:p>
      <w:r>
        <w:t xml:space="preserve">(3) Im Auszug aus der Amtlichen Basiskarte müssen das Baugrundstück und seine Umgebung im Umkreis von 500 m sowie der Standort des Bauvorhabens dargestellt sein. Dabei ist ein Maßstab von mindestens 1:5 000 zu verwenden. Der Auszug darf nicht älter als sechs Monate sein.</w:t>
      </w:r>
    </w:p>
    <w:p>
      <w:r>
        <w:rPr>
          <w:color w:val="555555"/>
          <w:sz w:val="17"/>
        </w:rPr>
        <w:t xml:space="preserve">Zitiervorschlag: § 2 NW_27719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https://recht.nulegal.eu/gesetze/NW_27719/2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