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NW_27719 (Nordrhein-Westfalen) — Eintragung von Baulasten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Eintragung von Baulasten nach § 4 Absatz 1 oder 2 und § 6 Absatz 2 BauO NRW 2018 sowie anderen Baulasten, die sich flächenmäßig auf Grundstücke oder auf Teile von Grundstücken beziehen, ist, sofern in der Verpflichtungserklärung (§ 85 Absatz 1 BauO NRW 2018) auf einen Lageplan Bezug genommen wird, dieser als amtlicher Lageplan nach § 3 Absatz 3 in zweifacher Ausfertigung beizufügen. Er muss mindestens enthalten</w:t>
      </w:r>
    </w:p>
    <w:p>
      <w:r>
        <w:t xml:space="preserve">1. die Angaben nach § 3 Absatz 1 Nummer 1 bis 3, 6, 8 und 12 und</w:t>
      </w:r>
    </w:p>
    <w:p>
      <w:r>
        <w:t xml:space="preserve">2. die Grundstücksflächen, die von der einzutragenden Baulast betroffen sind, entsprechend Nummer 1.12 der Anlage zu dieser Verordnung.</w:t>
      </w:r>
    </w:p>
    <w:p>
      <w:r>
        <w:rPr>
          <w:color w:val="555555"/>
          <w:sz w:val="17"/>
        </w:rPr>
        <w:t xml:space="preserve">Zitiervorschlag: § 18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