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NW_27717 (Nordrhein-Westfalen) — Schiedsklausel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Streitigkeiten aus diesem Abkommen werden durch ein Schiedsgericht entschieden. Es gilt der als Anlage beigefügte Schiedsvertrag. (Anlage)</w:t>
      </w:r>
    </w:p>
    <w:p>
      <w:r>
        <w:t xml:space="preserve">(2) Vor Anrufung des Schiedsgerichtes sollen sich bei Meinungsverschiedenheiten zwischen Bund und Ländern zunächst die zuständigen Abteilungsleiterinnen/Abteilungsleiter des Bundesministeriums für Raumordnung, Bauwesen und Städtebau, des Bundesministeriums der Finanzen und des Bundesministeriums für Verkehr sowie drei Abteilungsleiterinnen/Abteilungsleiter der zuständigen Landesministerien, die von der ARGEBAU für vier Jahre benannt werden, um eine einvernehmliche Lösung bemühen. Können sich die Abteilungsleiterinnen/Abteilungsleiter mehrheitlich nicht einigen, sollen sich die Staatssekretärinnen/Staatssekretäre der genannten Ministerien um eine einvernehmliche Lösung bemühen.</w:t>
      </w:r>
    </w:p>
    <w:p>
      <w:r>
        <w:t xml:space="preserve">(3) Eine von den Abteilungsleiterinnen/Abteilungsleitern oder den Staatssekretärinnen/Staatssekretären mehrheitlich getroffene Entscheidung gilt als verbindliche Auslegung dieses Abkommens.</w:t>
      </w:r>
    </w:p>
    <w:p>
      <w:r>
        <w:rPr>
          <w:color w:val="555555"/>
          <w:sz w:val="17"/>
        </w:rPr>
        <w:t xml:space="preserve">Zitiervorschlag: Art 13 NW_27717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