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NW_27698 (Nordrhein-Westfalen) — Grundsätze für die Tätigkeit des Ausschusses</w:t>
      </w:r>
    </w:p>
    <w:p>
      <w:r>
        <w:rPr>
          <w:color w:val="555555"/>
          <w:sz w:val="18"/>
        </w:rPr>
        <w:t xml:space="preserve">Verordnung zur Durchführung des Baugesetzbuches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Umlegungsausschuß entscheidet nach seiner freien aus den gesamten Verhandlungen und Ermittlungen gewonnenen Überzeugung. Er ist an Weisungen nicht gebunden.</w:t>
      </w:r>
    </w:p>
    <w:p>
      <w:r>
        <w:t xml:space="preserve">(2) Es kann eine Arbeitsentschädigung gewährt werden.</w:t>
      </w:r>
    </w:p>
    <w:p>
      <w:r>
        <w:t xml:space="preserve">(3) Der Umlegungsausschuß berät und beschließt in nicht öffentlicher Sitzung. Zu den Sitzungen können weitere Personen mit beratender Stimme zugezogen werden.</w:t>
      </w:r>
    </w:p>
    <w:p>
      <w:r>
        <w:rPr>
          <w:color w:val="555555"/>
          <w:sz w:val="17"/>
        </w:rPr>
        <w:t xml:space="preserve">Zitiervorschlag: § 6 NW_27698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https://recht.nulegal.eu/gesetze/NW_27698/6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