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NW_27698 (Nordrhein-Westfalen) — Weitere Zuständigkeitsregelungen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 ist zuständige Behörde</w:t>
      </w:r>
    </w:p>
    <w:p>
      <w:r>
        <w:t xml:space="preserve">1. für die Zustimmung zu einer auf den Zeitraum der mehrjährigen Finanzplanung der Gemeinde beschränkten Kosten- und Finanzierungsübersicht nach § 149 Abs. 4 BauGB und</w:t>
      </w:r>
    </w:p>
    <w:p>
      <w:r>
        <w:t xml:space="preserve">2. für die Erteilung von Bewilligungen von Städtebauförderungsmitteln zu Maßnahmen nach den §§ 164a, 164b BauGB.</w:t>
      </w:r>
    </w:p>
    <w:p>
      <w:r>
        <w:t xml:space="preserve">(2) Für die Verfolgung und Ahndung von Ordnungswidrigkeiten nach § 213 Absatz 1 und Absatz 2 BauGB sind die unteren Bauaufsichtsbehörden nach § 57 Absatz 1 Satz 1 Nummer 3 der Landesbauordnung 2018 vom 21. Juli 2018 (GV. NRW. S. 421) in der jeweils geltenden Fassung zuständig.</w:t>
      </w:r>
    </w:p>
    <w:p>
      <w:r>
        <w:rPr>
          <w:color w:val="555555"/>
          <w:sz w:val="17"/>
        </w:rPr>
        <w:t xml:space="preserve">Zitiervorschlag: § 2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