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NW_27698 (Nordrhein-Westfalen) — Inkrafttreten</w:t>
      </w:r>
    </w:p>
    <w:p>
      <w:r>
        <w:rPr>
          <w:color w:val="555555"/>
          <w:sz w:val="18"/>
        </w:rPr>
        <w:t xml:space="preserve">Verordnung zur Durchführung des Baugesetzbuches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Tage nach ihrer Verkündung in Kraft.</w:t>
      </w:r>
    </w:p>
    <w:p>
      <w:r>
        <w:t xml:space="preserve">Die Landesregierung</w:t>
      </w:r>
    </w:p>
    <w:p>
      <w:r>
        <w:t xml:space="preserve">des Landes Nordrhein-Westfalen</w:t>
      </w:r>
    </w:p>
    <w:p>
      <w:r>
        <w:t xml:space="preserve">Der Ministerpräsident</w:t>
      </w:r>
    </w:p>
    <w:p>
      <w:r>
        <w:t xml:space="preserve">Der Minister für Stadtentwicklung,</w:t>
      </w:r>
    </w:p>
    <w:p>
      <w:r>
        <w:t xml:space="preserve">Wohnen und Verkehr</w:t>
      </w:r>
    </w:p>
    <w:p>
      <w:r>
        <w:t xml:space="preserve">Hinweis</w:t>
      </w:r>
    </w:p>
    <w:p>
      <w:r>
        <w:t xml:space="preserve">Wiederherstellung des Verordnungsranges</w:t>
      </w:r>
    </w:p>
    <w:p>
      <w:r>
        <w:t xml:space="preserve">(Artikel 196 des Dritten Befristungsgesetzes vom 5.4.2005 (GV. NRW. S. 306))</w:t>
      </w:r>
    </w:p>
    <w:p>
      <w:r>
        <w:t xml:space="preserve">Die in diesem Gesetz erlassenen oder geänderten Rechtsverordnungen können aufgrund der jeweils einschlägigen Verordnungsermächtigungen durch Rechtsverordnung geändert werden.</w:t>
      </w:r>
    </w:p>
    <w:p>
      <w:r>
        <w:rPr>
          <w:color w:val="555555"/>
          <w:sz w:val="17"/>
        </w:rPr>
        <w:t xml:space="preserve">Zitiervorschlag: § 14 NW_27698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https://recht.nulegal.eu/gesetze/NW_27698/14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