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12 NW_27698 (Nordrhein-Westfalen) — Verpflichtung</w:t>
      </w:r>
    </w:p>
    <w:p>
      <w:r>
        <w:rPr>
          <w:color w:val="555555"/>
          <w:sz w:val="18"/>
        </w:rPr>
        <w:t xml:space="preserve">Verordnung zur Durchführung des Baugesetzbuches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Mitglieder des Umlegungsausschusses werden vor ihrer Dienstleistung von der Bürgermeisterin oder dem Bürgermeister der Gemeinde zur gewissenhaften Ausübung ihrer Tätigkeit und zur Beachtung der Schweigepflicht verpflichtet.</w:t>
      </w:r>
    </w:p>
    <w:p>
      <w:r>
        <w:rPr>
          <w:color w:val="555555"/>
          <w:sz w:val="17"/>
        </w:rPr>
        <w:t xml:space="preserve">Zitiervorschlag: § 12 NW_27698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https://recht.nulegal.eu/gesetze/NW_27698/12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