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NW_27691 (Nordrhein-Westfalen)</w:t>
      </w:r>
    </w:p>
    <w:p>
      <w:r>
        <w:rPr>
          <w:color w:val="555555"/>
          <w:sz w:val="18"/>
        </w:rPr>
        <w:t xml:space="preserve">VV-FBW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Filme, denen die FBW das Prädikat ,,wertvoll" oder ,,besonders wertvoll" erteilt hat, erhalten Steuervergünstigungen nach Maßgabe der Landesgesetzgebung.</w:t>
      </w:r>
    </w:p>
    <w:p>
      <w:r>
        <w:t xml:space="preserve">(2) Sofern die Steuergesetze der Länder nichts anderes bestimmen, bleibt das einem abendfüllenden Film (ab 1 600 m Länge) erteilte Prädikat unbefristet gültig; das einem kurzen Film (unter 1 600 m Länge) erteilte Prädikat verliert nach Ablauf des auf die Bewertung folgenden fünften Kalenderjahres seine Gültigkeit.</w:t>
      </w:r>
    </w:p>
    <w:p>
      <w:r>
        <w:rPr>
          <w:color w:val="555555"/>
          <w:sz w:val="17"/>
        </w:rPr>
        <w:t xml:space="preserve">Zitiervorschlag: Art 3 NW_27691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