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NW_27684 (Nordrhein-Westfalen) — Inkrafttreten</w:t>
      </w:r>
    </w:p>
    <w:p>
      <w:r>
        <w:rPr>
          <w:color w:val="555555"/>
          <w:sz w:val="18"/>
        </w:rPr>
        <w:t xml:space="preserve">Kabelbelegungssatzung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Satzung wird im Gesetz- und Verordnungsblatt für das Land Nordrhein-Westfalen bekanntgemacht.</w:t>
      </w:r>
    </w:p>
    <w:p>
      <w:r>
        <w:t xml:space="preserve">(2) Sie tritt am Tage nach ihrer Bekanntmachung in Kraft.</w:t>
      </w:r>
    </w:p>
    <w:p>
      <w:r>
        <w:t xml:space="preserve">Der Direktor</w:t>
      </w:r>
    </w:p>
    <w:p>
      <w:r>
        <w:t xml:space="preserve">der Landesanstalt für Rundfunk</w:t>
      </w:r>
    </w:p>
    <w:p>
      <w:r>
        <w:t xml:space="preserve">Nordrhein-Westfalen (LfR)</w:t>
      </w:r>
    </w:p>
    <w:p>
      <w:r>
        <w:rPr>
          <w:color w:val="555555"/>
          <w:sz w:val="17"/>
        </w:rPr>
        <w:t xml:space="preserve">Zitiervorschlag: § 9 NW_27684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https://recht.nulegal.eu/gesetze/NW_27684/9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NW_27684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