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NW_27684 (Nordrhein-Westfalen) — Mitteilungen der Betreiber der Kabelanlagen</w:t>
      </w:r>
    </w:p>
    <w:p>
      <w:r>
        <w:rPr>
          <w:color w:val="555555"/>
          <w:sz w:val="18"/>
        </w:rPr>
        <w:t xml:space="preserve">Kabelbelegungssatzung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Kabelanlagenbetreiber hat der LfR für jede von ihm betriebene Kabelanlage folgende Unterlagen vorzulegen:</w:t>
      </w:r>
    </w:p>
    <w:p>
      <w:r>
        <w:t xml:space="preserve">1. eine Aufstellung der verfügbaren Kanäle, wobei Nutzungseinschränkungen kenntlich zu machen sind;</w:t>
      </w:r>
    </w:p>
    <w:p>
      <w:r>
        <w:t xml:space="preserve">2. eine Aufstellung der grenzüberschreitend terrestrisch am Einspeisepunkt der Kabelanlage mit durchschnittlichem Antennenaufwand empfangbaren Programme mit einer Bewertung der technischen Empfangsqualität; für diese Bewertung gelten die Versorgungsrichtlinien der Deutschen Telekom AG für die Beurteilung der UKW-Tonrundfunkversorgung (Mono und Stereo) und für die Beurteilung der Fernsehversorgung in der jeweils geltenden Fassung;</w:t>
      </w:r>
    </w:p>
    <w:p>
      <w:r>
        <w:t xml:space="preserve">3. eine Aufstellung der zusätzlich weiterverbreitbaren Programme, verbunden mit der Mitteilung, für welche dieser Programme Einspeisungsverträge abgeschlossen wurden;</w:t>
      </w:r>
    </w:p>
    <w:p>
      <w:r>
        <w:t xml:space="preserve">4. im Falle des § 6 Abs. 2 das Ergebnis der vom Antragsteller nach § 6 Abs. 2 Satz 2 durchgeführten Ermittlung.</w:t>
      </w:r>
    </w:p>
    <w:p>
      <w:r>
        <w:t xml:space="preserve">(2) Die Mitteilungen nach Absatz 1 haben auch bei jeder Änderung eines Sachverhaltes, der zu einer Änderung der Kanalbelegung führen kann, zu erfolgen.</w:t>
      </w:r>
    </w:p>
    <w:p>
      <w:r>
        <w:rPr>
          <w:color w:val="555555"/>
          <w:sz w:val="17"/>
        </w:rPr>
        <w:t xml:space="preserve">Zitiervorschlag: § 7 NW_27684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https://recht.nulegal.eu/gesetze/NW_27684/7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