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NW_27684 (Nordrhein-Westfalen) — Ausnahmen</w:t>
      </w:r>
    </w:p>
    <w:p>
      <w:r>
        <w:rPr>
          <w:color w:val="555555"/>
          <w:sz w:val="18"/>
        </w:rPr>
        <w:t xml:space="preserve">Kabelbelegungssatzung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von der Landesregierung eine Übertragungskapazität für Versuchszwecke nach § 72 LRG NW vorgesehen ist, steht diese Kapazität nicht im Rahmen des Verfahrens nach § 41 LRG NW zur Verfügung.</w:t>
      </w:r>
    </w:p>
    <w:p>
      <w:r>
        <w:t xml:space="preserve">(2) Für die in § 32 und § 33 LRG NW genannten Einrichtungen und Wohnanlagen läßt die LfR auf Antrag des Eigentümers oder des Betreibers der Kabelanlage Ausnahmen von der Rangfolge nach § 41 Abs. 2 und 3 LRG NW zu. Dabei sollen Wünsche der angeschlossenen Teilnehmerinnen und Teilnehmer, welche in geeigneter Weise durch deren schriftliche Befragung zu ermitteln sind, angemessen berücksichtigt werden.</w:t>
      </w:r>
    </w:p>
    <w:p>
      <w:r>
        <w:rPr>
          <w:color w:val="555555"/>
          <w:sz w:val="17"/>
        </w:rPr>
        <w:t xml:space="preserve">Zitiervorschlag: § 6 NW_27684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https://recht.nulegal.eu/gesetze/NW_27684/6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NW_27684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