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NW_27681 (Nordrhein-Westfalen)</w:t>
      </w:r>
    </w:p>
    <w:p>
      <w:r>
        <w:rPr>
          <w:color w:val="555555"/>
          <w:sz w:val="18"/>
        </w:rPr>
        <w:t xml:space="preserve">Sechste Verordnung über die Zuordnung von Übertragungskapazitäten - 6. FrequenzVO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Folgende Übertragungskapazität wird zur programmlichen Nutzung für Hörfunk dem Deutschlandradio zugeordnet:</w:t>
      </w:r>
    </w:p>
    <w:p>
      <w:r>
        <w:t xml:space="preserve">Senderstandort</w:t>
      </w:r>
    </w:p>
    <w:p>
      <w:r>
        <w:t xml:space="preserve">Frequenz (MHz)</w:t>
      </w:r>
    </w:p>
    <w:p>
      <w:r>
        <w:t xml:space="preserve">max. Strahlungs-</w:t>
      </w:r>
    </w:p>
    <w:p>
      <w:r>
        <w:t xml:space="preserve">leistung in Watt</w:t>
      </w:r>
    </w:p>
    <w:p>
      <w:r>
        <w:t xml:space="preserve">max. effektive</w:t>
      </w:r>
    </w:p>
    <w:p>
      <w:r>
        <w:t xml:space="preserve">Antennenhöhe in m</w:t>
      </w:r>
    </w:p>
    <w:p>
      <w:r>
        <w:t xml:space="preserve">Richtdiagramm</w:t>
      </w:r>
    </w:p>
    <w:p>
      <w:r>
        <w:t xml:space="preserve">(ND = Rundstrahlung)</w:t>
      </w:r>
    </w:p>
    <w:p>
      <w:r>
        <w:t xml:space="preserve">(D = keine Rundstrahlung)</w:t>
      </w:r>
    </w:p>
    <w:p>
      <w:r>
        <w:t xml:space="preserve">Eifel-Bärbelkreuz</w:t>
      </w:r>
    </w:p>
    <w:p>
      <w:r>
        <w:t xml:space="preserve">106,1</w:t>
      </w:r>
    </w:p>
    <w:p>
      <w:r>
        <w:t xml:space="preserve">20000</w:t>
      </w:r>
    </w:p>
    <w:p>
      <w:r>
        <w:t xml:space="preserve">299</w:t>
      </w:r>
    </w:p>
    <w:p>
      <w:r>
        <w:t xml:space="preserve">D</w:t>
      </w:r>
    </w:p>
    <w:p>
      <w:r>
        <w:rPr>
          <w:color w:val="555555"/>
          <w:sz w:val="17"/>
        </w:rPr>
        <w:t xml:space="preserve">Zitiervorschlag: § 7 NW_27681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https://recht.nulegal.eu/gesetze/NW_27681/7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