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NW_27681 (Nordrhein-Westfalen)</w:t>
      </w:r>
    </w:p>
    <w:p>
      <w:r>
        <w:rPr>
          <w:color w:val="555555"/>
          <w:sz w:val="18"/>
        </w:rPr>
        <w:t xml:space="preserve">Sechste Verordnung über die Zuordnung von Übertragungskapazitäten - 6. FrequenzVO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Kraft.</w:t>
      </w:r>
    </w:p>
    <w:p>
      <w:r>
        <w:t xml:space="preserve">Die Landesregierung</w:t>
      </w:r>
    </w:p>
    <w:p>
      <w:r>
        <w:t xml:space="preserve">Nordrhein-Westfalen</w:t>
      </w:r>
    </w:p>
    <w:p>
      <w:r>
        <w:t xml:space="preserve">Der Ministerpräsident</w:t>
      </w:r>
    </w:p>
    <w:p>
      <w:r>
        <w:rPr>
          <w:color w:val="555555"/>
          <w:sz w:val="17"/>
        </w:rPr>
        <w:t xml:space="preserve">Zitiervorschlag: § 11 NW_27681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https://recht.nulegal.eu/gesetze/NW_27681/11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