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NW_27677 (Nordrhein-Westfalen)</w:t>
      </w:r>
    </w:p>
    <w:p>
      <w:r>
        <w:rPr>
          <w:color w:val="555555"/>
          <w:sz w:val="18"/>
        </w:rPr>
        <w:t xml:space="preserve">Vierte Verordnung über die Zuordnung von Übertragungskapazitäten - 4. FrequenzVO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 Verordnung tritt mit Ausnahme von § 4 am Tage nach der Verkündung in Kraft.</w:t>
      </w:r>
    </w:p>
    <w:p>
      <w:r>
        <w:t xml:space="preserve">(2) § 4 tritt mit Wirkung zum 1. April 1994 in Kraft.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Der Ministerpräsident</w:t>
      </w:r>
    </w:p>
    <w:p>
      <w:r>
        <w:rPr>
          <w:color w:val="555555"/>
          <w:sz w:val="17"/>
        </w:rPr>
        <w:t xml:space="preserve">Zitiervorschlag: § 7 NW_27677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https://recht.nulegal.eu/gesetze/NW_27677/7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