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NW_27674 (Nordrhein-Westfalen)</w:t>
      </w:r>
    </w:p>
    <w:p>
      <w:r>
        <w:rPr>
          <w:color w:val="555555"/>
          <w:sz w:val="18"/>
        </w:rPr>
        <w:t xml:space="preserve">Dritte Verordnung über die Zuordnung von Übertragungskapazitäten - 3. FrequenzVO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30. November 1993</w:t>
      </w:r>
    </w:p>
    <w:p>
      <w:r>
        <w:t xml:space="preserve">Aufgrund § 3 Abs. 1 des Rundfunkgesetzes für das Land Nordrhein-Westfalen (LRG NW) in der Fassung der Bekanntmachung vom 31. März 1993 (GV. NW. S. 172), in Verbindung mit Artikel 2 Abs. 9 des 3. Rundfunkänderungsgesetzes vom 18. Juni 1991 (GV. NW. S. 254) und Artikel 5 Abs. 2 des 5. Rundfunkänderungsgesetzes vom 22. September 1992 (GV. NW. S. 346) wird mit Zustimmung des Hauptausschusses des Landtags verordnet:</w:t>
      </w:r>
    </w:p>
    <w:p>
      <w:r>
        <w:rPr>
          <w:color w:val="555555"/>
          <w:sz w:val="17"/>
        </w:rPr>
        <w:t xml:space="preserve">Zitiervorschlag: Volltext NW_27674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https://recht.nulegal.eu/gesetze/NW_27674/volltext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NW_27674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