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NW_27672 (Nordrhein-Westfalen) — Säumniszuschläge, Kosten</w:t>
      </w:r>
    </w:p>
    <w:p>
      <w:r>
        <w:rPr>
          <w:color w:val="555555"/>
          <w:sz w:val="18"/>
        </w:rPr>
        <w:t xml:space="preserve">Bekanntmachung der Satzung über das Verfahren zur Leistung der Rundfunkgebühren des Westdeutschen Rundfunks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Werden geschuldete Rundfunkgebühren nicht innerhalb einer Frist von 4 Wochen nach Fälligkeit in voller Höhe entrichtet, wird ein Säumniszuschlag in Höhe von 5,- Euro fällig. Der Säumniszuschlag wird zusammen mit der Rundfunkgebührenschuld durch Bescheid nach § 7 Abs. 5 Rundfunkgebührenstaatsvertrag festgesetzt. Mit jedem Gebührenbescheid kann nur ein Säumniszuschlag erhoben werden.</w:t>
      </w:r>
    </w:p>
    <w:p>
      <w:r>
        <w:t xml:space="preserve">(2) Im übrigen werden Gebühren und Auslagen im Verwaltungszwangsverfahren entsprechend den landesrechtlichen Regelungen erhoben.</w:t>
      </w:r>
    </w:p>
    <w:p>
      <w:r>
        <w:rPr>
          <w:color w:val="555555"/>
          <w:sz w:val="17"/>
        </w:rPr>
        <w:t xml:space="preserve">Zitiervorschlag: § 6 NW_27672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