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30a NW_27670 (Nordrhein-Westfalen) — Jahresabschluss und Lagebericht</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Intendant hat nach Abschluss des Geschäftsjahres den Jahresabschluss, den Lagebericht, den Konzernabschluss und den Konzernlagebericht zu erstellen. Der Konzernlagebericht hat einen umfassenden Einblick in die Vermögens- und Ertragsverhältnisse der Körperschaft einschließlich ihrer Beziehungen zu Unternehmen, an denen sie unmittelbar oder mittelbar beteiligt ist, zu vermitteln.</w:t>
      </w:r>
    </w:p>
    <w:p>
      <w:r>
        <w:t xml:space="preserve">(2) Der Jahresabschluss und der Konzernabschluss sind nach den Vorschriften des Handelsgesetzbuches für große Kapitalgesellschaften aufzustellen und vor der Feststellung zu prüfen. Der Abschlussprüfer ist auch mit den Feststellungen und Berichten nach § 53 des Haushaltsgrundsätzegesetzes zu beauftragen.</w:t>
      </w:r>
    </w:p>
    <w:p>
      <w:r>
        <w:t xml:space="preserve">(3) Jahresabschluss, Lagebericht, Konzernabschluss, Konzernlagebericht und Prüfungsbericht werden vom Intendanten den Regierungen und den Rechnungshöfen der Sitzländer übermittelt.</w:t>
      </w:r>
    </w:p>
    <w:p>
      <w:r>
        <w:t xml:space="preserve">(4) Nach Genehmigung des Jahresabschlusses veröffentlicht der Intendant eine Gesamtübersicht über den Jahresabschluss und eine Zusammenfassung der wesentlichen Teile des Konzernlageberichts.</w:t>
      </w:r>
    </w:p>
    <w:p>
      <w:r>
        <w:t xml:space="preserve">(5) Die Körperschaft veröffentlicht die für die Tätigkeit im Geschäftsjahr gewährten Bezüge des Intendanten und der Direktoren unter Namensnennung im Geschäftsbericht. Satz 1 gilt insbesondere auch für:</w:t>
      </w:r>
    </w:p>
    <w:p>
      <w:r>
        <w:t xml:space="preserve">1. Leistungen, die den genannten Personen für den Fall einer vorzeitigen Beendigung ihrer Tätigkeit zugesagt worden sind,</w:t>
      </w:r>
    </w:p>
    <w:p>
      <w:r>
        <w:t xml:space="preserve">2. Leistungen, die den genannten Personen für den Fall der regulären Beendigung ihrer Tätigkeit zugesagt worden sind, mit ihrem Barwert sowie den von der Körperschaft während des Geschäftsjahres hierfür aufgewandten oder zurückgestellten Betrag,</w:t>
      </w:r>
    </w:p>
    <w:p>
      <w:r>
        <w:t xml:space="preserve">3. während des Geschäftsjahres vereinbarte Änderungen dieser Zusagen,</w:t>
      </w:r>
    </w:p>
    <w:p>
      <w:r>
        <w:t xml:space="preserve">4. Leistungen, die einer der betroffenen Personen, die ihre Tätigkeit im Laufe des Geschäftsjahres beendet hat, in diesem Zusammenhang zugesagt und im Laufe des Geschäftsjahres gewährt worden sind,</w:t>
      </w:r>
    </w:p>
    <w:p>
      <w:r>
        <w:t xml:space="preserve">5. Leistungen, die den genannten Personen für Tätigkeiten bei Tochter- und Beteiligungsgesellschaften der Körperschaft oder ihrer Mitglieder gewährt worden sind, und</w:t>
      </w:r>
    </w:p>
    <w:p>
      <w:r>
        <w:t xml:space="preserve">6. Leistungen, die den genannten Personen für entgeltliche Nebentätigkeiten gewährt worden sind; dies gilt nicht, wenn die Höhe der jeweils vereinbarten Einkünfte den Betrag von 1.000 Euro monatlich nicht übersteigt.</w:t>
      </w:r>
    </w:p>
    <w:p>
      <w:r>
        <w:t xml:space="preserve">(6) Die Tarifstrukturen und eine strukturierte Darstellung der außer- und übertariflichen Vereinbarungen sind zu veröffentlichen.</w:t>
      </w:r>
    </w:p>
    <w:p>
      <w:r>
        <w:rPr>
          <w:color w:val="555555"/>
          <w:sz w:val="17"/>
        </w:rPr>
        <w:t xml:space="preserve">Zitiervorschlag: § 30a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https://recht.nulegal.eu/gesetze/NW_27670/30a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