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NW_27669 (Nordrhein-Westfalen)</w:t>
      </w:r>
    </w:p>
    <w:p>
      <w:r>
        <w:rPr>
          <w:color w:val="555555"/>
          <w:sz w:val="18"/>
        </w:rPr>
        <w:t xml:space="preserve">Zweite Verordnung über die Zuordnung von Übertragungskapazitäten - 2.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Übertragungskapazität wird zur programmlichen Nutzung für Hörfunk dem Westdeutschen Rundfunk Köln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Ibbenbüren</w:t>
      </w:r>
    </w:p>
    <w:p>
      <w:r>
        <w:t xml:space="preserve">99,5</w:t>
      </w:r>
    </w:p>
    <w:p>
      <w:r>
        <w:t xml:space="preserve">500</w:t>
      </w:r>
    </w:p>
    <w:p>
      <w:r>
        <w:t xml:space="preserve">212</w:t>
      </w:r>
    </w:p>
    <w:p>
      <w:r>
        <w:t xml:space="preserve">D</w:t>
      </w:r>
    </w:p>
    <w:p>
      <w:r>
        <w:rPr>
          <w:color w:val="555555"/>
          <w:sz w:val="17"/>
        </w:rPr>
        <w:t xml:space="preserve">Zitiervorschlag: § 7 NW_27669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