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NW_27664 (Nordrhein-Westfalen)</w:t>
      </w:r>
    </w:p>
    <w:p>
      <w:r>
        <w:rPr>
          <w:color w:val="555555"/>
          <w:sz w:val="18"/>
        </w:rPr>
        <w:t xml:space="preserve">3. Rundfunkänderungsgesetz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Inkrafttreten</w:t>
      </w:r>
    </w:p>
    <w:p>
      <w:r>
        <w:t xml:space="preserve">Dieses Gesetz tritt am Tag nach seiner Verkündung in Kraft</w:t>
      </w:r>
    </w:p>
    <w:p>
      <w:r>
        <w:t xml:space="preserve">Die Landesregierung</w:t>
      </w:r>
    </w:p>
    <w:p>
      <w:r>
        <w:t xml:space="preserve">Nordrhein-Westfalen</w:t>
      </w:r>
    </w:p>
    <w:p>
      <w:r>
        <w:rPr>
          <w:color w:val="555555"/>
          <w:sz w:val="17"/>
        </w:rPr>
        <w:t xml:space="preserve">Zitiervorschlag: Art 3 NW_27664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