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NW_27659 (Nordrhein-Westfalen)</w:t>
      </w:r>
    </w:p>
    <w:p>
      <w:r>
        <w:rPr>
          <w:color w:val="555555"/>
          <w:sz w:val="18"/>
        </w:rPr>
        <w:t xml:space="preserve">Bekanntmachung der ersten Satzung der Landesanstalt für Rundfunk Nordrhein-Westfalen 'LfR' zur Festlegung von Verbreitungsgebieten für lokalen Hörfunk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nach der Bekanntmachung im Gesetz- und Verordnungsblatt für das Land Nordrhein-Westfalen in Kraft.</w:t>
      </w:r>
    </w:p>
    <w:p>
      <w:r>
        <w:t xml:space="preserve">Der Direktor der Landesanstalt</w:t>
      </w:r>
    </w:p>
    <w:p>
      <w:r>
        <w:t xml:space="preserve">für Rundfunk Nordrhein-Westfalen (LfR)</w:t>
      </w:r>
    </w:p>
    <w:p>
      <w:r>
        <w:rPr>
          <w:color w:val="555555"/>
          <w:sz w:val="17"/>
        </w:rPr>
        <w:t xml:space="preserve">Zitiervorschlag: § 3 NW_27659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