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NW_27653 (Nordrhein-Westfalen) — Schlußbestimmungen</w:t>
      </w:r>
    </w:p>
    <w:p>
      <w:r>
        <w:rPr>
          <w:color w:val="555555"/>
          <w:sz w:val="18"/>
        </w:rPr>
        <w:t xml:space="preserve">Satzung des Westdeutschen Rundfunks Köln 'Kabelpilotprojekt Dortmund'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Satzung tritt am Tage nach der Bekanntmachung im Gesetz- und Verordnungsblatt für das Land Nordrhein-Westfalen in Kraft.</w:t>
      </w:r>
    </w:p>
    <w:p>
      <w:r>
        <w:t xml:space="preserve">(2) Diese Satzung gilt bis zum Ende der Abwicklung des Kabelpilotprojekts Dortmund. Dieser Zeitpunkt wird durch den Rundfunkrat des WDR festgestellt und im Gesetz- und Verordnungsblatt des Landes Nordrhein-Westfalen bekanntgemacht werden.</w:t>
      </w:r>
    </w:p>
    <w:p>
      <w:r>
        <w:rPr>
          <w:color w:val="555555"/>
          <w:sz w:val="17"/>
        </w:rPr>
        <w:t xml:space="preserve">Zitiervorschlag: § 11 NW_27653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https://recht.nulegal.eu/gesetze/NW_27653/11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NW_27653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