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NW_27650 (Nordrhein-Westfalen) — Persönliche Anforderungen an denverantwortlichen Redakteur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verantwortlicher Redakteur kann nicht tätig sein und beschäftigt werden, wer</w:t>
      </w:r>
    </w:p>
    <w:p>
      <w:r>
        <w:t xml:space="preserve">1. seinen ständigen Aufenthalt außerhalb eines Mitgliedstaats der Europäischen Union oder eines anderen Vertragsstaates des Abkommens über den Europäischen Wirtschaftsraum hat,</w:t>
      </w:r>
    </w:p>
    <w:p>
      <w:r>
        <w:t xml:space="preserve">2. infolge Richterspruchs die Fähigkeit zur Bekleidung öffentlicher Ämter nicht besitzt,</w:t>
      </w:r>
    </w:p>
    <w:p>
      <w:r>
        <w:t xml:space="preserve">3. das 21. Lebensjahr nicht vollendet hat,</w:t>
      </w:r>
    </w:p>
    <w:p>
      <w:r>
        <w:t xml:space="preserve">4. nicht geschäftsfähig ist oder aufgrund einer psychischen Krankheit oder einer geistigen oder seelischen Behinderung unter Betreuung steht,</w:t>
      </w:r>
    </w:p>
    <w:p>
      <w:r>
        <w:t xml:space="preserve">5. nicht unbeschränkt strafrechtlich verfolgt werden kann.</w:t>
      </w:r>
    </w:p>
    <w:p>
      <w:r>
        <w:t xml:space="preserve">(2) Die Vorschriften des Absatzes 1 Nr. 3 und 4 gelten nicht für Druckwerke, die von Jugendlichen für Jugendliche herausgegeben werden.</w:t>
      </w:r>
    </w:p>
    <w:p>
      <w:r>
        <w:t xml:space="preserve">(3) Von der Voraussetzung des Absatzes 1 Nr. 1 kann der Innenminister in besonderen Fällen auf Antrag Befreiung erteilen. Die Befreiung kann widerrufen werden.</w:t>
      </w:r>
    </w:p>
    <w:p>
      <w:r>
        <w:rPr>
          <w:color w:val="555555"/>
          <w:sz w:val="17"/>
        </w:rPr>
        <w:t xml:space="preserve">Zitiervorschlag: § 9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