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NW_27650 (Nordrhein-Westfalen) — Informationsrecht der Presse</w:t>
      </w:r>
    </w:p>
    <w:p>
      <w:r>
        <w:rPr>
          <w:color w:val="555555"/>
          <w:sz w:val="18"/>
        </w:rPr>
        <w:t xml:space="preserve">Landespressegesetz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Behörden sind verpflichtet, den Vertretern der Presse die der Erfüllung ihrer öffentlichen Aufgabe dienenden Auskünfte zu erteilen.</w:t>
      </w:r>
    </w:p>
    <w:p>
      <w:r>
        <w:t xml:space="preserve">(2) Ein Anspruch auf Auskunft besteht nicht, soweit</w:t>
      </w:r>
    </w:p>
    <w:p>
      <w:r>
        <w:t xml:space="preserve">1. durch sie die sachgemäße Durchführung eines schwebenden Verfahrens vereitelt, erschwert, verzögert oder gefährdet werden könnte oder</w:t>
      </w:r>
    </w:p>
    <w:p>
      <w:r>
        <w:t xml:space="preserve">2. Vorschriften über die Geheimhaltung entgegenstehen oder</w:t>
      </w:r>
    </w:p>
    <w:p>
      <w:r>
        <w:t xml:space="preserve">3. ein überwiegendes öffentliches oder ein schutzwürdiges privates Interesse verletzt würde oder</w:t>
      </w:r>
    </w:p>
    <w:p>
      <w:r>
        <w:t xml:space="preserve">4. deren Umfang das zumutbare Maß überschreitet.</w:t>
      </w:r>
    </w:p>
    <w:p>
      <w:r>
        <w:t xml:space="preserve">(3) Allgemeine Anordnungen, die einer Behörde Auskünfte an die Presse überhaupt, an diejenige einer bestimmten Richtung oder an ein bestimmtes periodisches Druckwerk verbieten, sind unzulässig.</w:t>
      </w:r>
    </w:p>
    <w:p>
      <w:r>
        <w:t xml:space="preserve">(4) Der Verleger einer Zeitung oder Zeitschrift kann von den Behörden verlangen, daß ihm deren amtliche Bekanntmachungen nicht später als seinen Mitbewerbern zur Verwendung zugeleitet werden.</w:t>
      </w:r>
    </w:p>
    <w:p>
      <w:r>
        <w:rPr>
          <w:color w:val="555555"/>
          <w:sz w:val="17"/>
        </w:rPr>
        <w:t xml:space="preserve">Zitiervorschlag: § 4 NW_27650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