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NW_27650 (Nordrhein-Westfalen) — Verjährung</w:t>
      </w:r>
    </w:p>
    <w:p>
      <w:r>
        <w:rPr>
          <w:color w:val="555555"/>
          <w:sz w:val="18"/>
        </w:rPr>
        <w:t xml:space="preserve">Landespressegesetz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Verfolgung von Straftaten,</w:t>
      </w:r>
    </w:p>
    <w:p>
      <w:r>
        <w:t xml:space="preserve">1. die durch die Veröffentlichung oder Verbreitung von Druckwerken strafbaren Inhalts begangen werden, oder</w:t>
      </w:r>
    </w:p>
    <w:p>
      <w:r>
        <w:t xml:space="preserve">2. die sonst den Tatbestand einer Strafbestimmung dieses Gesetzes verwirklichen,</w:t>
      </w:r>
    </w:p>
    <w:p>
      <w:r>
        <w:t xml:space="preserve">verjährt bei Verbrechen in einem Jahr, bei Vergehen in sechs Monaten. Bei Vergehen nach §§ 86, 86a und 129a Abs. 3, auch in Verbindung mit § 129b Abs. 1, sowie nach §§ 130 Abs. 2 und 4, 131 und 184a bis 184d des Strafgesetzbuches gelten insoweit die Vorschriften des Strafgesetzbuches über die Verfolgungsverjährung.</w:t>
      </w:r>
    </w:p>
    <w:p>
      <w:r>
        <w:t xml:space="preserve">(2) Die Verfolgung der in § 23 genannten Ordnungswidrigkeiten verjährt in drei Monaten.</w:t>
      </w:r>
    </w:p>
    <w:p>
      <w:r>
        <w:t xml:space="preserve">(3) Die Verjährung beginnt mit der Veröffentlichung oder Verbreitung des Druckwerks. Wird das Druckwerk in Teilen veröffentlicht oder verbreitet oder wird es neu aufgelegt, so beginnt die Verjährung erneut mit der Veröffentlichung oder Verbreitung der weiteren Teile oder Auflagen.</w:t>
      </w:r>
    </w:p>
    <w:p>
      <w:r>
        <w:rPr>
          <w:color w:val="555555"/>
          <w:sz w:val="17"/>
        </w:rPr>
        <w:t xml:space="preserve">Zitiervorschlag: § 25 NW_27650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https://recht.nulegal.eu/gesetze/NW_27650/25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