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NW_27650 (Nordrhein-Westfalen) — Strafbare Verletzung der Presseordnung</w:t>
      </w:r>
    </w:p>
    <w:p>
      <w:r>
        <w:rPr>
          <w:color w:val="555555"/>
          <w:sz w:val="18"/>
        </w:rPr>
        <w:t xml:space="preserve">Landespressegesetz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Freiheitsstrafe bis zu einem Jahr oder mit Geldstrafe wird bestraft, wer</w:t>
      </w:r>
    </w:p>
    <w:p>
      <w:r>
        <w:t xml:space="preserve">1. als Verleger eine Person zum verantwortlichen Redakteur bestellt, die nicht den Anforderungen des § 9 entspricht,</w:t>
      </w:r>
    </w:p>
    <w:p>
      <w:r>
        <w:t xml:space="preserve">2. als verantwortlicher Redakteur zeichnet, obwohl er die Voraussetzungen des § 9 nicht erfüllt,</w:t>
      </w:r>
    </w:p>
    <w:p>
      <w:r>
        <w:t xml:space="preserve">3. als verantwortlicher Redakteur oder Verleger - beim Selbstverlag als Verfasser oder Herausgeber - bei einem Druckwerk strafbaren Inhalts den Vorschriften über das Impressum (§ 8) zuwiderhandelt,</w:t>
      </w:r>
    </w:p>
    <w:p>
      <w:r>
        <w:rPr>
          <w:color w:val="555555"/>
          <w:sz w:val="17"/>
        </w:rPr>
        <w:t xml:space="preserve">Zitiervorschlag: § 22 NW_27650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https://recht.nulegal.eu/gesetze/NW_27650/22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