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NW_27650 (Nordrhein-Westfalen) — Kennzeichnung entgeltlicher Veröffentlichungen</w:t>
      </w:r>
    </w:p>
    <w:p>
      <w:r>
        <w:rPr>
          <w:color w:val="555555"/>
          <w:sz w:val="18"/>
        </w:rPr>
        <w:t xml:space="preserve">Landespressegesetz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Hat der Verleger oder der Verantwortliche (§ 8 Abs. 2 Satz 4) eines periodischen Druckwerks für eine Veröffentlichung ein Entgelt erhalten, gefordert oder sich versprechen lassen, so muß diese Veröffentlichung, soweit sie nicht schon durch Anordnung und Gestaltung allgemein als Anzeige zu erkennen ist, deutlich mit dem Wort ,,Anzeige" bezeichnet werden.</w:t>
      </w:r>
    </w:p>
    <w:p>
      <w:r>
        <w:rPr>
          <w:color w:val="555555"/>
          <w:sz w:val="17"/>
        </w:rPr>
        <w:t xml:space="preserve">Zitiervorschlag: § 10 NW_27650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https://recht.nulegal.eu/gesetze/NW_27650/10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