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NW_27649 (Nordrhein-Westfalen) — Satzung</w:t>
      </w:r>
    </w:p>
    <w:p>
      <w:r>
        <w:rPr>
          <w:color w:val="555555"/>
          <w:sz w:val="18"/>
        </w:rPr>
        <w:t xml:space="preserve">Bekanntmachung der Hauptsatzung der Westfälischen Kommissionen für Landeskunde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WKL geben sich in Abstimmung mit dem Direktor des LWL jeweils eigene Kommissionssatzungen.</w:t>
      </w:r>
    </w:p>
    <w:p>
      <w:r>
        <w:t xml:space="preserve">(2) In den einzelnen Kommissionssatzungen sind insbesondere auch Regelungen über die Durchführung von Wahlen, die Beschlußfassung und das Stimmrecht zu schaffen.</w:t>
      </w:r>
    </w:p>
    <w:p>
      <w:r>
        <w:rPr>
          <w:color w:val="555555"/>
          <w:sz w:val="17"/>
        </w:rPr>
        <w:t xml:space="preserve">Zitiervorschlag: § 7 NW_27649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