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NW_27642 (Nordrhein-Westfalen) — Datenerhebung,Berichtigung, Auskunft, Einsicht in Akten</w:t>
      </w:r>
    </w:p>
    <w:p>
      <w:r>
        <w:rPr>
          <w:color w:val="555555"/>
          <w:sz w:val="18"/>
        </w:rPr>
        <w:t xml:space="preserve">VO-DV II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in § 1 Abs. 1 genannten Personen sind bei der Erhebung ihrer in den Anlagen aufgeführten Daten zur Auskunft verpflichtet, soweit sie nicht als freiwillige Angaben besonders gekennzeichnet sind.</w:t>
      </w:r>
    </w:p>
    <w:p>
      <w:r>
        <w:t xml:space="preserve">(2) Personenbezogene Daten sind nach Maßgabe des Artikels 16 der Datenschutz-Grundverordnung zu berichtigen, wenn sie unrichtig oder unvollständig sind. Die betroffenen Personen sind zudem berechtigt, nach Maßgabe des Artikels 15 der Datenschutz-Grundverordnung Auskunft über die Verarbeitung der sie betreffenden Daten zu erhalten.</w:t>
      </w:r>
    </w:p>
    <w:p>
      <w:r>
        <w:rPr>
          <w:color w:val="555555"/>
          <w:sz w:val="17"/>
        </w:rPr>
        <w:t xml:space="preserve">Zitiervorschlag: § 4 NW_27642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https://recht.nulegal.eu/gesetze/NW_27642/4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