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NW_27642 (Nordrhein-Westfalen) — Inkrafttreten, Übergangsvorschrift</w:t>
      </w:r>
    </w:p>
    <w:p>
      <w:r>
        <w:rPr>
          <w:color w:val="555555"/>
          <w:sz w:val="18"/>
        </w:rPr>
        <w:t xml:space="preserve">VO-DV II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Schulchroniken, die bei Inkrafttreten dieser Verordnung bereits bestehen, können mit den bisherigen Inhalten für schulinterne Zwecke aufbewahrt werden.</w:t>
      </w:r>
    </w:p>
    <w:p>
      <w:r>
        <w:t xml:space="preserve">Für die Ministerin</w:t>
      </w:r>
    </w:p>
    <w:p>
      <w:r>
        <w:t xml:space="preserve">für Schule und Weiterbildung</w:t>
      </w:r>
    </w:p>
    <w:p>
      <w:r>
        <w:t xml:space="preserve">des Landes Nordrhein-Westfalen</w:t>
      </w:r>
    </w:p>
    <w:p>
      <w:r>
        <w:t xml:space="preserve">Die Ministerin für Wissenschaft und Forschung</w:t>
      </w:r>
    </w:p>
    <w:p>
      <w:r>
        <w:t xml:space="preserve">Zusatz:</w:t>
      </w:r>
    </w:p>
    <w:p>
      <w:r>
        <w:t xml:space="preserve">Befristung von Vorschriften</w:t>
      </w:r>
    </w:p>
    <w:p>
      <w:r>
        <w:t xml:space="preserve">Artikel 17 des Gesetzes zur Stärkung von Bildung und Erziehung v. 8.7.2003 (GV. NRW. S. 413): "Die Vorschriften dieses Gesetzes treten fünf Jahre nach ihrem In-Kraft-Treten außer Kraft."</w:t>
      </w:r>
    </w:p>
    <w:p>
      <w:r>
        <w:t xml:space="preserve">Artikel 10 dieses Gesetzes ändert Anlage 1.</w:t>
      </w:r>
    </w:p>
    <w:p>
      <w:r>
        <w:rPr>
          <w:color w:val="555555"/>
          <w:sz w:val="17"/>
        </w:rPr>
        <w:t xml:space="preserve">Zitiervorschlag: § 11 NW_27642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https://recht.nulegal.eu/gesetze/NW_27642/11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