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NW_27642 (Nordrhein-Westfalen) — Ordnungswidrigkeiten</w:t>
      </w:r>
    </w:p>
    <w:p>
      <w:r>
        <w:rPr>
          <w:color w:val="555555"/>
          <w:sz w:val="18"/>
        </w:rPr>
        <w:t xml:space="preserve">VO-DV II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 als nach § 4 Abs. 1 zur Auskunft Verpflichteter</w:t>
      </w:r>
    </w:p>
    <w:p>
      <w:r>
        <w:t xml:space="preserve">1. keine,</w:t>
      </w:r>
    </w:p>
    <w:p>
      <w:r>
        <w:t xml:space="preserve">2. unrichtige oder</w:t>
      </w:r>
    </w:p>
    <w:p>
      <w:r>
        <w:t xml:space="preserve">3. unvollständige</w:t>
      </w:r>
    </w:p>
    <w:p>
      <w:r>
        <w:t xml:space="preserve">Auskunft erteilt.</w:t>
      </w:r>
    </w:p>
    <w:p>
      <w:r>
        <w:t xml:space="preserve">(2) Die Ordnungswidrigkeit kann mit einer Geldbuße geahndet werden.</w:t>
      </w:r>
    </w:p>
    <w:p>
      <w:r>
        <w:t xml:space="preserve">(3) Verwaltungsbehörde im Sinne des § 36 Abs. 1 Nr. 1 des Gesetzes über Ordnungswidrigkeiten ist die Bezirksregierung.</w:t>
      </w:r>
    </w:p>
    <w:p>
      <w:r>
        <w:rPr>
          <w:color w:val="555555"/>
          <w:sz w:val="17"/>
        </w:rPr>
        <w:t xml:space="preserve">Zitiervorschlag: § 10 NW_27642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