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NW_27641 (Nordrhein-Westfalen) — Inkrafttreten</w:t>
      </w:r>
    </w:p>
    <w:p>
      <w:r>
        <w:rPr>
          <w:color w:val="555555"/>
          <w:sz w:val="18"/>
        </w:rPr>
        <w:t xml:space="preserve">Verordnung zur Durchführung des Aufstiegsfortbildungsförderungsgesetzes - VO zum AFBG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Der Innenminister</w:t>
      </w:r>
    </w:p>
    <w:p>
      <w:r>
        <w:t xml:space="preserve">Der Finanzminister</w:t>
      </w:r>
    </w:p>
    <w:p>
      <w:r>
        <w:t xml:space="preserve">Der Minister für Wirtschaft und Mittelstand,</w:t>
      </w:r>
    </w:p>
    <w:p>
      <w:r>
        <w:t xml:space="preserve">Technologie und Verkehr</w:t>
      </w:r>
    </w:p>
    <w:p>
      <w:r>
        <w:t xml:space="preserve">Die Ministerin für Schule</w:t>
      </w:r>
    </w:p>
    <w:p>
      <w:r>
        <w:t xml:space="preserve">und Weiterbildung</w:t>
      </w:r>
    </w:p>
    <w:p>
      <w:r>
        <w:t xml:space="preserve">Hinweis</w:t>
      </w:r>
    </w:p>
    <w:p>
      <w:r>
        <w:t xml:space="preserve">Wiederherstellung des Verordnungsranges</w:t>
      </w:r>
    </w:p>
    <w:p>
      <w:r>
        <w:t xml:space="preserve">(Artikel 170 des Vierten Befristungsgesetzes vom 5.4.2005 (GV. NRW. S. 332))</w:t>
      </w:r>
    </w:p>
    <w:p>
      <w:r>
        <w:t xml:space="preserve">Die in diesem Gesetz erlassenen oder geänderten Rechtsverordnungen können aufgrund der jeweils einschlägigen Verordnungsermächtigungen durch Rechtsverordnung geändert werden.</w:t>
      </w:r>
    </w:p>
    <w:p>
      <w:r>
        <w:rPr>
          <w:color w:val="555555"/>
          <w:sz w:val="17"/>
        </w:rPr>
        <w:t xml:space="preserve">Zitiervorschlag: § 4 NW_27641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https://recht.nulegal.eu/gesetze/NW_27641/4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