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NW_27621 (Nordrhein-Westfalen)</w:t>
      </w:r>
    </w:p>
    <w:p>
      <w:r>
        <w:rPr>
          <w:color w:val="555555"/>
          <w:sz w:val="18"/>
        </w:rPr>
        <w:t xml:space="preserve">Bekanntmachung des Staatsvertrages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Bis zur Durchführung eines gesamtdeutschen Länderfinanzausgleichs gilt für die in Art. 14 Abs. 2 genannte Erstattung der Fehlbeträge folgende Regelung:</w:t>
      </w:r>
    </w:p>
    <w:p>
      <w:r>
        <w:t xml:space="preserve">Der Zuschußbedarf für die Zentralstelle wird von den alten Ländern nach dem bisherigen Königsteiner Schlüssel getragen.</w:t>
      </w:r>
    </w:p>
    <w:p>
      <w:r>
        <w:t xml:space="preserve">Eine Beteiligung der neuen Länder an der Grundfinanzierung der Zentralstelle erfolgt nicht.</w:t>
      </w:r>
    </w:p>
    <w:p>
      <w:r>
        <w:t xml:space="preserve">Der durch die Ausdehnung des Aufgabenbereiches auf die neuen Länder und den östlichen Teil Berlins bedingte Zuschußbedarf (beitrittsbedingter Bedarf) wird von den neuen Ländern und Berlin allein getragen.</w:t>
      </w:r>
    </w:p>
    <w:p>
      <w:r>
        <w:t xml:space="preserve">Die Aufteilung des gemeinsamen Zuschusses wird in dem Haushaltsplan ausgewiesen.</w:t>
      </w:r>
    </w:p>
    <w:p>
      <w:r>
        <w:t xml:space="preserve">Der von den neuen Ländern und Berlin aufzubringende Anteil wird nach der Bevölkerungszahl umgelegt.</w:t>
      </w:r>
    </w:p>
    <w:p>
      <w:r>
        <w:rPr>
          <w:color w:val="555555"/>
          <w:sz w:val="17"/>
        </w:rPr>
        <w:t xml:space="preserve">Zitiervorschlag: Art II NW_27621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https://recht.nulegal.eu/gesetze/NW_27621/ii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