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NW_27611 (Nordrhein-Westfalen)</w:t>
      </w:r>
    </w:p>
    <w:p>
      <w:r>
        <w:rPr>
          <w:color w:val="555555"/>
          <w:sz w:val="18"/>
        </w:rPr>
        <w:t xml:space="preserve">Gesetz über die Evangelische Fachhochschule Rheinland-Westfalen-Lippe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Landesrechtliche Vorschriften für Religionsgemeinschaften, die den Rechtsstatus einer Körperschaft des öffentlichen Rechts besitzen, gelten auch für die Evangelische Fachhochschule Rheinland-Westfalen-Lippe.</w:t>
      </w:r>
    </w:p>
    <w:p>
      <w:r>
        <w:rPr>
          <w:color w:val="555555"/>
          <w:sz w:val="17"/>
        </w:rPr>
        <w:t xml:space="preserve">Zitiervorschlag: § 5 NW_27611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https://recht.nulegal.eu/gesetze/NW_27611/5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