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NW_27611 (Nordrhein-Westfalen)</w:t>
      </w:r>
    </w:p>
    <w:p>
      <w:r>
        <w:rPr>
          <w:color w:val="555555"/>
          <w:sz w:val="18"/>
        </w:rPr>
        <w:t xml:space="preserve">Gesetz über die Evangelische Fachhochschule Rheinland-Westfalen-Lippe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Satzung der Fachhochschule und Änderungen der Satzung bedürfen der Genehmigung des für das Hochschulwesen zuständigen Ministers im Einvernehmen mit dem für Kirchenangelegenheiten zuständigen Minister.</w:t>
      </w:r>
    </w:p>
    <w:p>
      <w:r>
        <w:t xml:space="preserve">(2) Die Satzung der Studentenschaft und Änderungen der Satzung bedürfen der Genehmigung des Rektorats und des Kuratoriums. Die Genehmigung des Kuratoriums bedarf des Einvernehmens mit dem für das Hochschulwesen zuständigen Minister.</w:t>
      </w:r>
    </w:p>
    <w:p>
      <w:r>
        <w:t xml:space="preserve">(3) Die Genehmigung (Absatz 1) und das Einvernehmen (Absatz 2) sind zu versagen, wenn die Regelung nicht in Einklang mit dem geltenden Recht steht.</w:t>
      </w:r>
    </w:p>
    <w:p>
      <w:r>
        <w:t xml:space="preserve">(4) Die Vorschriften der §§ 72 bis 76 des Hochschulgesetzes vom 16. September 2014 (GV. NRW. S. 547) in der jeweils geltenden Fassung bleiben unberührt.</w:t>
      </w:r>
    </w:p>
    <w:p>
      <w:r>
        <w:rPr>
          <w:color w:val="555555"/>
          <w:sz w:val="17"/>
        </w:rPr>
        <w:t xml:space="preserve">Zitiervorschlag: § 3 NW_27611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https://recht.nulegal.eu/gesetze/NW_27611/3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