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NW_27607 (Nordrhein-Westfalen) — Unterrichtsorganisation</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Lehrgänge werden in Semestern von in der Regel jeweils halbjähriger Dauer durchgeführt.</w:t>
      </w:r>
    </w:p>
    <w:p>
      <w:r>
        <w:t xml:space="preserve">(2) Vollzeitschulische Lehrgänge, die nicht berufsbegleitend durchgeführt werden, dauern in der Regel beim Erwerb des Ersten Schulabschlusses höchstens zwei, Erweiterten Ersten Schulabschlusses höchstens drei, des Mittleren Schulabschlusses (Fachoberschulreife) höchstens vier Semester.</w:t>
      </w:r>
    </w:p>
    <w:p>
      <w:r>
        <w:t xml:space="preserve">(3) Der Unterricht findet in Kursen in den Fächern und Lernbereichen statt. Die Teilnehmer sind verpflichtet, den Unterricht regelmäßig zu besuchen. Die Teilnehmerzahl eines Kurses soll in der Regel 25 nicht überschreiten.</w:t>
      </w:r>
    </w:p>
    <w:p>
      <w:r>
        <w:rPr>
          <w:color w:val="555555"/>
          <w:sz w:val="17"/>
        </w:rPr>
        <w:t xml:space="preserve">Zitiervorschlag: § 6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