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NW_27521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Herrnhuter Brüdergemeine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an die Herrnhuter Brüdergemeine in Nordrhein-Westfalen erfolgt auf der Grundlage der §§ 1439, 1450-1467, 1480-1491 der Kirchenordnung der Europäisch-Festländischen Brüder-Unität in der Fassung vom 1. Juni 1992.</w:t>
      </w:r>
    </w:p>
    <w:p>
      <w:r>
        <w:t xml:space="preserve">Änderungen der vorgenannten Verfassung sind dem Kultusministerium anzuzeigen. Ihm ist auf Verlangen auch über andere unter dem rechtlichen Gesichtspunkt des Artikels 140 Grundgesetz in Verbindung mit Artikel 137 Abs. 5 Satz 2 der Verfassung des Deutschen Reiches vom 11. August 1919 wesentliche Verhältnisse Auskunft zu geben.</w:t>
      </w:r>
    </w:p>
    <w:p>
      <w:r>
        <w:rPr>
          <w:color w:val="555555"/>
          <w:sz w:val="17"/>
        </w:rPr>
        <w:t xml:space="preserve">Zitiervorschlag: § 2 NW_27521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