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NW_27518 (Nordrhein-Westfalen) — Erlaß von Anordnungen</w:t>
      </w:r>
    </w:p>
    <w:p>
      <w:r>
        <w:rPr>
          <w:color w:val="555555"/>
          <w:sz w:val="18"/>
        </w:rPr>
        <w:t xml:space="preserve">Geschäftsanweisung für Baumaßnahmen der Kirchengemeinden und Gemeindeverbände im nordrhein-westfälischen Teil des Bistums Münster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bischöfliche Behörde kann zur Regelung von Einzelheiten der von dieser Geschäftsanweisung betroffenen Rechtsgeschäfte und Beschlüsse Anordnungen erlassen.</w:t>
      </w:r>
    </w:p>
    <w:p>
      <w:r>
        <w:t xml:space="preserve">Münster, den 20. März 1990</w:t>
      </w:r>
    </w:p>
    <w:p>
      <w:r>
        <w:t xml:space="preserve">Der Bischof von Münster</w:t>
      </w:r>
    </w:p>
    <w:p>
      <w:r>
        <w:t xml:space="preserve">In Vertretung</w:t>
      </w:r>
    </w:p>
    <w:p>
      <w:r>
        <w:t xml:space="preserve">Dr. Thissen, Generalvikar</w:t>
      </w:r>
    </w:p>
    <w:p>
      <w:r>
        <w:rPr>
          <w:color w:val="555555"/>
          <w:sz w:val="17"/>
        </w:rPr>
        <w:t xml:space="preserve">Zitiervorschlag: § 7 NW_27518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