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NW_27518 (Nordrhein-Westfalen) — Genehmigungsbedürftige Beschlüsse zu Baumaßnahmen</w:t>
      </w:r>
    </w:p>
    <w:p>
      <w:r>
        <w:rPr>
          <w:color w:val="555555"/>
          <w:sz w:val="18"/>
        </w:rPr>
        <w:t xml:space="preserve">Geschäftsanweisung für Baumaßnahmen der Kirchengemeinden und Gemeindeverbände im nordrhein-westfälischen Teil des Bistums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Beschlüsse der Kirchenvorstände und Verbandsvertretungen über</w:t>
      </w:r>
    </w:p>
    <w:p>
      <w:r>
        <w:t xml:space="preserve">a) Verträge, die Baumaßnahmen betreffen, deren Gegenstandswert im Einzelfall 10 000,- DM übersteigt,</w:t>
      </w:r>
    </w:p>
    <w:p>
      <w:r>
        <w:t xml:space="preserve">b) Verträge mit Architekten, Ingenieuren und Planern, die Baumaßnahmen vorbereiten oder beaufsichtigen, unabhängig von der Höhe des Honorars,</w:t>
      </w:r>
    </w:p>
    <w:p>
      <w:r>
        <w:t xml:space="preserve">c) Verträge, die Baumaßnahmen an denkmalgeschützten Bauwerken und Bauwerksteilen betreffen, unabhängig von der Höhe der Gegenleistung</w:t>
      </w:r>
    </w:p>
    <w:p>
      <w:r>
        <w:t xml:space="preserve">bedürfen zu ihrer Wirksamkeit der Genehmigung der bischöflichen Behörde.</w:t>
      </w:r>
    </w:p>
    <w:p>
      <w:r>
        <w:rPr>
          <w:color w:val="555555"/>
          <w:sz w:val="17"/>
        </w:rPr>
        <w:t xml:space="preserve">Zitiervorschlag: § 3 NW_27518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