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X NW_27514 (Nordrhein-Westfalen)</w:t>
      </w:r>
    </w:p>
    <w:p>
      <w:r>
        <w:rPr>
          <w:color w:val="555555"/>
          <w:sz w:val="18"/>
        </w:rPr>
        <w:t xml:space="preserve">Gesetz zu dem Vertrag zwischen dem Land Nordrhein-Westfalen und dem Heiligen Stuhl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alle Fragen, die sich aus den Bestimmungen dieses Vertrages ergeben, werden die Vertragschließenden in Fühlung bleiben. Sie werden in Zukunft zwischen ihnen entstehende Meinungsverschiedenheiten über die Auslegung einer Bestimmung dieses Vertrages auf freundschaftliche Weise beseitigen.</w:t>
      </w:r>
    </w:p>
    <w:p>
      <w:r>
        <w:t xml:space="preserve">(2) Falls gesetzliche Bestimmungen geändert werden sollen und hierdurch die Durchführung dieses Vertrages berührt wird, werden die Vertragschließenden mit dem Ziel einer freundschaftlichen Verständigung Verhandlungen über eine Anpassung dieses Vertrages führen.</w:t>
      </w:r>
    </w:p>
    <w:p>
      <w:r>
        <w:rPr>
          <w:color w:val="555555"/>
          <w:sz w:val="17"/>
        </w:rPr>
        <w:t xml:space="preserve">Zitiervorschlag: Art X NW_27514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https://recht.nulegal.eu/gesetze/NW_27514/x</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